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Grössere Parkierungsanlagen; mehrgeschossige Bauweise vom 22. August 2012</w:t>
      </w:r>
    </w:p>
    <w:p>
      <w:r>
        <w:t>Ag Baugesetzgebung, 2012-08-22, DE</w:t>
      </w:r>
    </w:p>
    <w:p>
      <w:r>
        <w:rPr>
          <w:b/>
        </w:rPr>
        <w:t xml:space="preserve">Quelle: </w:t>
      </w:r>
      <w:r>
        <w:t>https://mcp.opencaselaw.ch/entscheid/ag_baugesetzgebung_Gr_ssere_Parkierungsanlagen__mehrgeschossige_Bauweise</w:t>
      </w:r>
    </w:p>
    <w:p>
      <w:r>
        <w:t>FR: AG_BAUGESETZGEBUNG Grössere Parkierungsanlagen; mehrgeschossige Bauweise du 22 août 2012</w:t>
      </w:r>
    </w:p>
    <w:p>
      <w:r>
        <w:t>IT: AG_BAUGESETZGEBUNG Grössere Parkierungsanlagen; mehrgeschossige Bauweise del 22 agosto 2012</w:t>
      </w:r>
    </w:p>
    <w:p>
      <w:pPr>
        <w:pStyle w:val="Heading2"/>
      </w:pPr>
      <w:r>
        <w:t>Regeste</w:t>
      </w:r>
    </w:p>
    <w:p>
      <w:r>
        <w:t>Für LKW-Parkierungsanlagen von Logistikbetrieben und von Transportunternehmen gilt die Verpflichtung nicht, die Anlagen in mehrgeschossiger Bauweise (§ 56 Abs. 3 BauG) zu erstellen.</w:t>
      </w:r>
    </w:p>
    <w:p>
      <w:pPr>
        <w:pStyle w:val="Heading2"/>
      </w:pPr>
      <w:r>
        <w:t>Volltext</w:t>
      </w:r>
    </w:p>
    <w:p>
      <w:r>
        <w:t>Entzug der aufschiebenden Wirkung – Reine Verfahrens- und Parteikostenbeschwerden hindern die Rechtskraft des Baubewilligungsentscheids nicht. Auf ein Gesuch um vorzeitigen Bau- beginn wird mangels Rechtsschutzinteresse nicht eingetreten.</w:t>
      </w:r>
    </w:p>
    <w:p>
      <w:r>
        <w:t>Entscheid des Verwaltungsgerichts (VGE / Präsidialentscheid) vom 22. August 2012 (WBE.2012.199)</w:t>
      </w:r>
    </w:p>
    <w:p>
      <w:r>
        <w:t>Aus den Erwägungen</w:t>
      </w:r>
    </w:p>
    <w:p>
      <w:r>
        <w:t>6. 6.1. Nach langjähriger Praxis des Verwaltungsgerichts gilt: Bei reinen Verfahrens- und Parteikostenbeschwerden kann der nicht angefoch- tene Teil der Verfügung vollzogen bzw. kann davon Gebrauch ge- macht werden, sobald diesbezüglich die formelle Rechtskraft einge- treten ist. Ein Gesuch um vorsorgliche Massnahme ist in diesen Fäl- len nicht nötig (vgl. Aargauische Gerichts- und Verwaltungsent- scheide [AGVE] 1987, S. 342; 1996, S. 396 ff. ).</w:t>
      </w:r>
    </w:p>
    <w:p>
      <w:r>
        <w:t>6.2. Der Beschwerdeführer ficht lediglich die Ziffern 2 und 3 des vo- rinstanzlichen Entscheids an, d.h., es liegt eine reine Verfahrens- und Parteikostenbeschwerde vor. Dispositiv-Ziffer 1 des vorinstanzlichen Entscheids, mithin die Bewilligung des Gemeinderats A. vom 16. Mai 2011 mit gewissen Ergänzungen durch die Vorinstanz, ist unangefochten in Rechtskraft erwachsen, weshalb von der Bewilli- gung Gebrauch gemacht werden kann. Auf das Gesuch der Be- schwerdegegnerin ist demgemäss nicht einzutreten, weil es an einem Rechtsschutzinteresse fehlt.</w:t>
      </w:r>
    </w:p>
    <w:p>
      <w:r>
        <w:t>Stichwörter: Vorsorgliche Massnahme, Vorzeitiger Baubeginn, Ent- zug der aufschiebenden Wirkung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