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Gewässerschutz; Grundwasserschutzzone vom 22. April 1991</w:t>
      </w:r>
    </w:p>
    <w:p>
      <w:r>
        <w:t>Ag Baugesetzgebung, 1991-04-22, DE</w:t>
      </w:r>
    </w:p>
    <w:p>
      <w:r>
        <w:rPr>
          <w:b/>
        </w:rPr>
        <w:t xml:space="preserve">Quelle: </w:t>
      </w:r>
      <w:r>
        <w:t>https://mcp.opencaselaw.ch/entscheid/ag_baugesetzgebung_Gew_sserschutz__Grundwasserschutzzone</w:t>
      </w:r>
    </w:p>
    <w:p>
      <w:r>
        <w:t>FR: AG_BAUGESETZGEBUNG Gewässerschutz; Grundwasserschutzzone du 22 avril 1991</w:t>
      </w:r>
    </w:p>
    <w:p>
      <w:r>
        <w:t>IT: AG_BAUGESETZGEBUNG Gewässerschutz; Grundwasserschutzzone del 22 aprile 1991</w:t>
      </w:r>
    </w:p>
    <w:p>
      <w:pPr>
        <w:pStyle w:val="Heading2"/>
      </w:pPr>
      <w:r>
        <w:t>Regeste</w:t>
      </w:r>
    </w:p>
    <w:p>
      <w:r>
        <w:t>Potenzielle Verunreinigungsherde stehen der Ausscheidung einer Schutzzone nicht entgegen. Keine Befristung der Gültigkeit der Schutzzone.</w:t>
      </w:r>
    </w:p>
    <w:p>
      <w:pPr>
        <w:pStyle w:val="Heading2"/>
      </w:pPr>
      <w:r>
        <w:t>Erwägungen</w:t>
      </w:r>
    </w:p>
    <w:p>
      <w:r>
        <w:rPr>
          <w:b/>
        </w:rPr>
        <w:t>E. 4</w:t>
      </w:r>
    </w:p>
    <w:p>
      <w:r>
        <w:t>Zusammenfassend stützt sich die Ausscheidung der angefochtenen Grundwasserschutzzone auf eine ausreichende gesetzliche Grundlage, liegt im überwiegenden öffentlichen Interesse und verstösst nicht gegen das Verhältnismässigkeitsgebot. Dem Begehren um Befristung des Schutzzonenplanes kann nicht entsprochen werden." Entscheid des Baudepartements vom 20.09.1993 in Sachen Z.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