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Gebühren vom 7. April 1995</w:t>
      </w:r>
    </w:p>
    <w:p>
      <w:r>
        <w:t>Ag Baugesetzgebung, 1995-04-07, DE</w:t>
      </w:r>
    </w:p>
    <w:p>
      <w:r>
        <w:rPr>
          <w:b/>
        </w:rPr>
        <w:t xml:space="preserve">Quelle: </w:t>
      </w:r>
      <w:r>
        <w:t>https://mcp.opencaselaw.ch/entscheid/ag_baugesetzgebung_Geb_hren</w:t>
      </w:r>
    </w:p>
    <w:p>
      <w:r>
        <w:t>FR: AG_BAUGESETZGEBUNG Gebühren du 7 avril 1995</w:t>
      </w:r>
    </w:p>
    <w:p>
      <w:r>
        <w:t>IT: AG_BAUGESETZGEBUNG Gebühren del 7 aprile 1995</w:t>
      </w:r>
    </w:p>
    <w:p>
      <w:pPr>
        <w:pStyle w:val="Heading2"/>
      </w:pPr>
      <w:r>
        <w:t>Regeste</w:t>
      </w:r>
    </w:p>
    <w:p>
      <w:r>
        <w:t>Wasseranschlussgebühren, Kanalisationsanschlussgebühren und Beiträge</w:t>
      </w:r>
    </w:p>
    <w:p>
      <w:pPr>
        <w:pStyle w:val="Heading2"/>
      </w:pPr>
      <w:r>
        <w:t>Volltext</w:t>
      </w:r>
    </w:p>
    <w:p>
      <w:r>
        <w:t>Wasseranschlussgebühren, Kanalisationsanschlussgebühren und Beiträge kein E. 3. Gebühren [Wasseranschlussgebühren, Kanalisationsanschlussgebühren] und Beiträge als sogenannte Kausalabgaben müssen wertadäquat sein. Dies bedeutet zweierlei (AGVE 1987, S. 139 f.; 1991, S. 203, je mit weiteren Hinweisen): Einmal darf die Gesamtsumme der Abgaben die den Sondervorteil schaffenden Aufwendungen des Gemeinwesens grundsätzlich nicht übersteigen (Kostendeckungsprinzip), und sodann muss die individuelle Abgabe durch den individuellen Sondervorteil abgedeckt sein (Äquivalenzprinzip) (...). Aus den Erwägungen Sachverhalt Entscheid des Verwaltungsgerichts (II/49) vom 07.04.1995 in Sachen G.S. (E. II. 3) S. 13 Gebühren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