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Erlass eines Beseitigungsbefehls vom 5. Mai 1994</w:t>
      </w:r>
    </w:p>
    <w:p>
      <w:r>
        <w:t>Ag Baugesetzgebung, 1994-05-05, DE</w:t>
      </w:r>
    </w:p>
    <w:p>
      <w:r>
        <w:rPr>
          <w:b/>
        </w:rPr>
        <w:t xml:space="preserve">Quelle: </w:t>
      </w:r>
      <w:r>
        <w:t>https://mcp.opencaselaw.ch/entscheid/ag_baugesetzgebung_Erlass_eines_Beseitigungsbefehls</w:t>
      </w:r>
    </w:p>
    <w:p>
      <w:r>
        <w:t>FR: AG_BAUGESETZGEBUNG Erlass eines Beseitigungsbefehls du 5 mai 1994</w:t>
      </w:r>
    </w:p>
    <w:p>
      <w:r>
        <w:t>IT: AG_BAUGESETZGEBUNG Erlass eines Beseitigungsbefehls del 5 maggio 1994</w:t>
      </w:r>
    </w:p>
    <w:p>
      <w:pPr>
        <w:pStyle w:val="Heading2"/>
      </w:pPr>
      <w:r>
        <w:t>Regeste</w:t>
      </w:r>
    </w:p>
    <w:p>
      <w:r>
        <w:t>Beseitigungsbefehl: Der Gemeinderat wird darüber zu befinden haben, ob für die beiden alten Garagen ein nachträgliches Baugesuch einverlangt werden muss, um materiell die Vereinbarkeit der Bauten mit den Bauvorschriften zu prüfen und allenfalls - soweit dies das Verhältnismässigkeitsprinzip zulässt - die Anpassung oder Beseitigung zu verlangen.</w:t>
      </w:r>
    </w:p>
    <w:p>
      <w:pPr>
        <w:pStyle w:val="Heading2"/>
      </w:pPr>
      <w:r>
        <w:t>Volltext</w:t>
      </w:r>
    </w:p>
    <w:p>
      <w:r>
        <w:t>Aargau Entscheidsammlung Baugesetzgebung 05.05.1994 Argovie Entscheidsammlung Baugesetzgebung 05.05.1994 Argovia Entscheidsammlung Baugesetzgebung 05.05.1994</w:t>
      </w:r>
    </w:p>
    <w:p>
      <w:r>
        <w:t>Beseitigungsbefehl: Der Gemeinderat wird darüber zu befinden haben, ob für die beiden alten Garagen ein nachträgliches Baugesuch einverlangt werden muss, um materiell die Vereinbarkeit der Bauten mit den Bauvorschriften zu prüfen und allenfalls - soweit dies das Verhältnismässigkeitsprinzip zulässt - die Anpassung oder Beseitigung zu verlangen.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