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Dimensionierung einer Privatstrasse mit öff. Fusswegrecht vom 9. Mai 2006</w:t>
      </w:r>
    </w:p>
    <w:p>
      <w:r>
        <w:t>Ag Baugesetzgebung, 2006-05-09, DE</w:t>
      </w:r>
    </w:p>
    <w:p>
      <w:r>
        <w:rPr>
          <w:b/>
        </w:rPr>
        <w:t xml:space="preserve">Quelle: </w:t>
      </w:r>
      <w:r>
        <w:t>https://mcp.opencaselaw.ch/entscheid/ag_baugesetzgebung_Dimensionierung_einer_Privatstrasse_mit__ff._Fusswegrecht</w:t>
      </w:r>
    </w:p>
    <w:p>
      <w:r>
        <w:t>FR: AG_BAUGESETZGEBUNG Dimensionierung einer Privatstrasse mit öff. Fusswegrecht du 9 mai 2006</w:t>
      </w:r>
    </w:p>
    <w:p>
      <w:r>
        <w:t>IT: AG_BAUGESETZGEBUNG Dimensionierung einer Privatstrasse mit öff. Fusswegrecht del 9 maggio 2006</w:t>
      </w:r>
    </w:p>
    <w:p>
      <w:pPr>
        <w:pStyle w:val="Heading2"/>
      </w:pPr>
      <w:r>
        <w:t>Regeste</w:t>
      </w:r>
    </w:p>
    <w:p>
      <w:r>
        <w:t>Eine Privatstrasse mit öffentlichem Fusswegrecht ist eine öffentliche Strasse. Ihre Dimensionierung muss so erfolgen, dass das Fusswegrecht ungeschmälert erhalten und die Sicherheit der Fussgänger gewährleistet bleibt (Erw. 2c und 3a–3c). – Private Grundstückszufahrten müssen so dimensioniert sein, dass der Verkehrsfluss auf der öffentlichen Strasse nicht behindert wird (Erw. 2d und 3d).</w:t>
      </w:r>
    </w:p>
    <w:p>
      <w:pPr>
        <w:pStyle w:val="Heading2"/>
      </w:pPr>
      <w:r>
        <w:t>Volltext</w:t>
      </w:r>
    </w:p>
    <w:p>
      <w:r>
        <w:t>Aargau Entscheidsammlung Baugesetzgebung 09.05.2006 Argovie Entscheidsammlung Baugesetzgebung 09.05.2006 Argovia Entscheidsammlung Baugesetzgebung 09.05.2006</w:t>
      </w:r>
    </w:p>
    <w:p>
      <w:r>
        <w:t>Eine Privatstrasse mit öffentlichem Fusswegrecht ist eine öffentliche Strasse. Ihre Dimensionierung muss so erfolgen, dass das Fusswegrecht ungeschmälert erhalten und die Sicherheit der Fussgänger gewährleistet bleibt (Erw. 2c und 3a–3c). – Private Grundstückszufahrten müssen so dimensioniert sein, dass der Verkehrsfluss auf der öffentlichen Strasse nicht behindert wird (Erw. 2d und 3d).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