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Beschwerdeschrift vom 27. April 1994</w:t>
      </w:r>
    </w:p>
    <w:p>
      <w:r>
        <w:t>Ag Baugesetzgebung, 1994-04-27, DE</w:t>
      </w:r>
    </w:p>
    <w:p>
      <w:r>
        <w:rPr>
          <w:b/>
        </w:rPr>
        <w:t xml:space="preserve">Quelle: </w:t>
      </w:r>
      <w:r>
        <w:t>https://mcp.opencaselaw.ch/entscheid/ag_baugesetzgebung_Beschwerdeschrift</w:t>
      </w:r>
    </w:p>
    <w:p>
      <w:r>
        <w:t>FR: AG_BAUGESETZGEBUNG Beschwerdeschrift du 27 avril 1994</w:t>
      </w:r>
    </w:p>
    <w:p>
      <w:r>
        <w:t>IT: AG_BAUGESETZGEBUNG Beschwerdeschrift del 27 aprile 1994</w:t>
      </w:r>
    </w:p>
    <w:p>
      <w:pPr>
        <w:pStyle w:val="Heading2"/>
      </w:pPr>
      <w:r>
        <w:t>Regeste</w:t>
      </w:r>
    </w:p>
    <w:p>
      <w:r>
        <w:t>Eine Nachfrist zur Verbesserung der Beschwerde ist nur einzuräumen, wenn zumindest im Ansatz ein schriftlicher Antrag und eine schriftliche Begründung vorliegen und lediglich unvollständig oder unklar sind oder die Vorinstanz versäumt hat, ihren Entscheid mit einer vollständigen Rechtsmittelbelehrung zu versehen.</w:t>
      </w:r>
    </w:p>
    <w:p>
      <w:pPr>
        <w:pStyle w:val="Heading2"/>
      </w:pPr>
      <w:r>
        <w:t>Volltext</w:t>
      </w:r>
    </w:p>
    <w:p>
      <w:r>
        <w:t>Aargau Entscheidsammlung Baugesetzgebung 27.04.1994 Argovie Entscheidsammlung Baugesetzgebung 27.04.1994 Argovia Entscheidsammlung Baugesetzgebung 27.04.1994</w:t>
      </w:r>
    </w:p>
    <w:p>
      <w:r>
        <w:t>Eine Nachfrist zur Verbesserung der Beschwerde ist nur einzuräumen, wenn zumindest im Ansatz ein schriftlicher Antrag und eine schriftliche Begründung vorliegen und lediglich unvollständig oder unklar sind oder die Vorinstanz versäumt hat, ihren Entscheid mit einer vollständigen Rechtsmittelbelehrung zu versehen.</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