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Bausperre vom 8. Juni 1998</w:t>
      </w:r>
    </w:p>
    <w:p>
      <w:r>
        <w:t>Ag Baugesetzgebung, 1998-06-08, DE</w:t>
      </w:r>
    </w:p>
    <w:p>
      <w:r>
        <w:rPr>
          <w:b/>
        </w:rPr>
        <w:t xml:space="preserve">Quelle: </w:t>
      </w:r>
      <w:r>
        <w:t>https://mcp.opencaselaw.ch/entscheid/ag_baugesetzgebung_Bausperre</w:t>
      </w:r>
    </w:p>
    <w:p>
      <w:r>
        <w:t>FR: AG_BAUGESETZGEBUNG Bausperre du 8 juin 1998</w:t>
      </w:r>
    </w:p>
    <w:p>
      <w:r>
        <w:t>IT: AG_BAUGESETZGEBUNG Bausperre del 8 giugno 1998</w:t>
      </w:r>
    </w:p>
    <w:p>
      <w:pPr>
        <w:pStyle w:val="Heading2"/>
      </w:pPr>
      <w:r>
        <w:t>Regeste</w:t>
      </w:r>
    </w:p>
    <w:p>
      <w:r>
        <w:t>Der Erlass einer Bausperre setzt keine öffentliche Auflage des Baugesuchs voraus.</w:t>
      </w:r>
    </w:p>
    <w:p>
      <w:pPr>
        <w:pStyle w:val="Heading2"/>
      </w:pPr>
      <w:r>
        <w:t>Volltext</w:t>
      </w:r>
    </w:p>
    <w:p>
      <w:r>
        <w:t>Der Erlass einer Bausperre setzt keine öffentliche Auflage des Baugesuchs voraus. kein Soll eine Bausperre gemäss § 30 BauG erlassen werden, so muss das Baugesuch nicht öffentlich aufgelegt werden. Die Voraussetzungen für den Erlass einer Bausperre sind in § 30 BauG abschliessend umschrieben. Sind diese gegeben, so ist eine Bausperre rechtens. Die Baubewilligungsbehörde ist namentlich nicht gehalten, ein Baugesuch auch auf seine Vereinbarkeit mit dem geltenden Recht hin zu prüfen. Der Gesetzgeber hat sich im Interesse eines möglichst verfahrensökonomischen Vorgehens für diese Lösung entschieden. Aus den Erwägungen Sachverhalt Entscheid des Baudepartements vom 08.06.1998 in Sachen Y., Erw. 4 (vgl. auch AGVE 1997, S. 298). Bausperre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