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Baubewilligungspflicht bei Gartencheminées vom 15. März 1995</w:t>
      </w:r>
    </w:p>
    <w:p>
      <w:r>
        <w:t>Ag Baugesetzgebung, 1995-03-15, DE</w:t>
      </w:r>
    </w:p>
    <w:p>
      <w:r>
        <w:rPr>
          <w:b/>
        </w:rPr>
        <w:t xml:space="preserve">Quelle: </w:t>
      </w:r>
      <w:r>
        <w:t>https://mcp.opencaselaw.ch/entscheid/ag_baugesetzgebung_Baubewilligungspflicht_bei_Gartenchemin_es</w:t>
      </w:r>
    </w:p>
    <w:p>
      <w:r>
        <w:t>FR: AG_BAUGESETZGEBUNG Baubewilligungspflicht bei Gartencheminées du 15 mars 1995</w:t>
      </w:r>
    </w:p>
    <w:p>
      <w:r>
        <w:t>IT: AG_BAUGESETZGEBUNG Baubewilligungspflicht bei Gartencheminées del 15 marzo 1995</w:t>
      </w:r>
    </w:p>
    <w:p>
      <w:pPr>
        <w:pStyle w:val="Heading2"/>
      </w:pPr>
      <w:r>
        <w:t>Regeste</w:t>
      </w:r>
    </w:p>
    <w:p>
      <w:r>
        <w:t>Es ist nicht Sinn der Baubewilligungspflicht, jedes noch so kleine und geringfügige bauliche Vorhaben, das auf irgendeine materielle Vorschrift des öffentlichen Rechts Bezug nimmt, von einer Baubewilligung abhängig zu machen. (z.B. Gartencheminées)</w:t>
      </w:r>
    </w:p>
    <w:p>
      <w:pPr>
        <w:pStyle w:val="Heading2"/>
      </w:pPr>
      <w:r>
        <w:t>Volltext</w:t>
      </w:r>
    </w:p>
    <w:p>
      <w:r>
        <w:t>Aargau Entscheidsammlung Baugesetzgebung 15.03.1995 Argovie Entscheidsammlung Baugesetzgebung 15.03.1995 Argovia Entscheidsammlung Baugesetzgebung 15.03.1995</w:t>
      </w:r>
    </w:p>
    <w:p>
      <w:r>
        <w:t>Es ist nicht Sinn der Baubewilligungspflicht, jedes noch so kleine und geringfügige bauliche Vorhaben, das auf irgendeine materielle Vorschrift des öffentlichen Rechts Bezug nimmt, von einer Baubewilligung abhängig zu machen. (z.B. Gartencheminées)</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