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Aufsichtsbeschwerde vom 25. Mai 1994</w:t>
      </w:r>
    </w:p>
    <w:p>
      <w:r>
        <w:t>Ag Baugesetzgebung, 1994-05-25, DE</w:t>
      </w:r>
    </w:p>
    <w:p>
      <w:r>
        <w:rPr>
          <w:b/>
        </w:rPr>
        <w:t xml:space="preserve">Quelle: </w:t>
      </w:r>
      <w:r>
        <w:t>https://mcp.opencaselaw.ch/entscheid/ag_baugesetzgebung_Aufsichtsbeschwerde</w:t>
      </w:r>
    </w:p>
    <w:p>
      <w:r>
        <w:t>FR: AG_BAUGESETZGEBUNG Aufsichtsbeschwerde du 25 mai 1994</w:t>
      </w:r>
    </w:p>
    <w:p>
      <w:r>
        <w:t>IT: AG_BAUGESETZGEBUNG Aufsichtsbeschwerde del 25 maggio 1994</w:t>
      </w:r>
    </w:p>
    <w:p>
      <w:pPr>
        <w:pStyle w:val="Heading2"/>
      </w:pPr>
      <w:r>
        <w:t>Regeste</w:t>
      </w:r>
    </w:p>
    <w:p>
      <w:r>
        <w:t>Die Aufsichtsbehörde greift nur dort ein, wo klares Recht verletzt ist, wesentliche Verfahrensvorschriften oder öffentliche Interessen offensichtlich missachtet worden sind.</w:t>
      </w:r>
    </w:p>
    <w:p>
      <w:pPr>
        <w:pStyle w:val="Heading2"/>
      </w:pPr>
      <w:r>
        <w:t>Volltext</w:t>
      </w:r>
    </w:p>
    <w:p>
      <w:r>
        <w:t>Die Aufsichtsbehörde greift nur dort ein, wo klares Recht verletzt ist, wesentliche Verfahrensvorschriften oder öffentliche Interessen offensichtlich missachtet worden sind. kein "1. a) (...) Gegen Entscheide in aufsichtsrechtlichen Verfahren ist grundsätzlich keine förmliche Beschwerde möglich, weshalb sie auch nicht mit einer Rechtsmittelbelehrung zu versehen sind. Es bleibt hingegen die Möglichkeit, an die nächsthöhere Aufsichtsinstanz zu gelangen (vgl. zum Ganzen: ANDREAS BURREN, Die Aufsichtsbeschwerde im Verwaltungsverfahren insbesondere nach aargauischem Recht, Diss. Basel 1978, S. 214 ff.). Für Aufsichtsbeschwerden ist § 59a des Gesetzes über die Verwaltungsrechtspflege vom 9. Juli 1968 (VRPG) massgebend. Gemäss § 59a VRPG kann jedermann jederzeit Tatsachen, die im öffentlichen Interesse ein Einschreiten gegen Behörden und Beamte von Amtes wegen erfordern, der Aufsichtsbehörde anzeigen. Der Anzeiger hat Anspruch auf Beantwortung, soweit er nicht missbräuchlich handelt. Erweist sich die Anzeige als leichtfertig oder böswillig, kann dem Anzeiger eine Kanzleigebühr auferlegt werden. Anders als bei der Ergreifung eines formellen Rechtsmittels steht ihm aber kein materieller Prüfungs- und Erledigungsanspruch zu. Wenn die angegangene Behörde das Vorbringen des Anzeigers zum Anlass nimmt, die betreffende Angelegenheit zu untersuchen, um gegebenenfalls die sich aufdrängenden aufsichtsrechtlichen Massnahmen anzuordnen, so tut sie dies von Amtes wegen, d.h. auf eigenen Entschluss hin und in eigener Verantwortung; dem Anzeiger kommt in einem solchen aufsichtsrechtlichen Verfahren keine Parteistellung zu, seine Anträge sind demnach für die Aufsichtsbehörde nicht bindend (RRB Nr. 98 vom 19. Januar 1994 i.S. A.K., Nr. 999 vom 13. April 1992 i.S. J.K.). b) Die Aufsichtsbeschwerde dient in erster Linie dazu, die Aufsichtsbehörden auf Pflichtverletzungen der unterstellten Behörden aufmerksam zu machen. Beschwerdegründe sind jene Tatsachen, die im öffentlichen Interesse ein Einschreiten erfordern, insbesondere pflichtwidrige Amtsführung, Rechtsverweigerung oder Rechtsverzögerung. Der Umfang dieser Aufsicht ist entsprechend der Natur der Aufsichtsbeschwerde beschränkt auf den Geschäftsgang und die pflichtgemässe Ausübung der Funktionen durch die Behörden und ihre Mitglieder. Nicht jede falsche Rechtsanwendung ist zugleich eine Amtspflichtverletzung. Hingegen können bestimmte Verfahrensmängel sowohl zu einer Aufhebung des Entscheides im ordentlichen Beschwerdeverfahren als auch im Aufsichtsbeschwerdeverfahren führen. Die Aufsichtsbehörde greift nur dort ein, wo klares Recht verletzt ist, wesentliche Verfahrensvorschriften oder öffentliche Interessen offensichtlich missachtet worden sind (vgl. zum Ganzen: ANDREAS BURREN, a.a.O., S. 145 ff.; ATTILIO R. GADOLA, Das verwaltungsinterne Beschwerdeverfahren, Diss. Zürich 1991, S. 156 ff.; AGVE 1982 S. 565 ff., 1978 S. 579 ff., 583)." Aus den Erwägungen Sachverhalt Entscheid des Regierungsrats (Art. Nr. 1081) vom 25.05.1994 Aufsichtsbeschwerde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