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Attikageschoss vom 29. Mai 2002</w:t>
      </w:r>
    </w:p>
    <w:p>
      <w:r>
        <w:t>Ag Baugesetzgebung, 2002-05-29, DE</w:t>
      </w:r>
    </w:p>
    <w:p>
      <w:r>
        <w:rPr>
          <w:b/>
        </w:rPr>
        <w:t xml:space="preserve">Quelle: </w:t>
      </w:r>
      <w:r>
        <w:t>https://mcp.opencaselaw.ch/entscheid/ag_baugesetzgebung_Attikageschoss</w:t>
      </w:r>
    </w:p>
    <w:p>
      <w:r>
        <w:t>FR: AG_BAUGESETZGEBUNG Attikageschoss du 29 mai 2002</w:t>
      </w:r>
    </w:p>
    <w:p>
      <w:r>
        <w:t>IT: AG_BAUGESETZGEBUNG Attikageschoss del 29 maggio 2002</w:t>
      </w:r>
    </w:p>
    <w:p>
      <w:pPr>
        <w:pStyle w:val="Heading2"/>
      </w:pPr>
      <w:r>
        <w:t>Regeste</w:t>
      </w:r>
    </w:p>
    <w:p>
      <w:r>
        <w:t>Bei terrassierten Bauten berechnet sich die zulässige Attikagrundfläche nicht allein aufgrund der Geschossfläche der darunter liegenden (übergrossen) Terrassenstufe, sondern es ist die gesamte terrassierte Baute zu betrachten und nach optischen und funktionalen Kriterien zu urteilen.</w:t>
      </w:r>
    </w:p>
    <w:p>
      <w:pPr>
        <w:pStyle w:val="Heading2"/>
      </w:pPr>
      <w:r>
        <w:t>Volltext</w:t>
      </w:r>
    </w:p>
    <w:p>
      <w:r>
        <w:t>Aargau Entscheidsammlung Baugesetzgebung 29.05.2002 Argovie Entscheidsammlung Baugesetzgebung 29.05.2002 Argovia Entscheidsammlung Baugesetzgebung 29.05.2002</w:t>
      </w:r>
    </w:p>
    <w:p>
      <w:r>
        <w:t>Bei terrassierten Bauten berechnet sich die zulässige Attikagrundfläche nicht allein aufgrund der Geschossfläche der darunter liegenden (übergrossen) Terrassenstufe, sondern es ist die gesamte terrassierte Baute zu betrachten und nach optischen und funktionalen Kriterien zu urteilen.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