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AVV.2019.82 vom 21. Juli 2016</w:t>
      </w:r>
    </w:p>
    <w:p>
      <w:r>
        <w:t>Ag Anwaltskommission, 2016-07-21, DE</w:t>
      </w:r>
    </w:p>
    <w:p>
      <w:r>
        <w:rPr>
          <w:b/>
        </w:rPr>
        <w:t xml:space="preserve">Quelle: </w:t>
      </w:r>
      <w:r>
        <w:t>https://mcp.opencaselaw.ch/entscheid/ag_anwaltskommission_AVV.2019.82</w:t>
      </w:r>
    </w:p>
    <w:p>
      <w:r>
        <w:t>FR: AG_ANWALTSKOMMISSION AVV.2019.82 du 21 juillet 2016</w:t>
      </w:r>
    </w:p>
    <w:p>
      <w:r>
        <w:t>IT: AG_ANWALTSKOMMISSION AVV.2019.82 del 21 luglio 2016</w:t>
      </w:r>
    </w:p>
    <w:p>
      <w:pPr>
        <w:pStyle w:val="Heading2"/>
      </w:pPr>
      <w:r>
        <w:t>Regeste</w:t>
      </w:r>
    </w:p>
    <w:p>
      <w:r>
        <w:t>Art. 12 lit. g BGFA Verletzung der Berufspflichten; es obliegt dem Gericht, die Entschädigung für die unentgeltliche Rechtspflege festzulegen und die Anwältin entsprechend zu entschädigen. Falls die bedürftige Klientin wieder zu Vermögen gelangen sollte, ist das formelle Nachzahlungsverfahren anzustrengen. Dies hat die Anwältin nicht gemacht, sondern ihrer Klientin, welcher die unentgeltliche Rechtspflege gewährt worden war, ihr Honorar in Rechnung gestellt. Damit hat sie gegen Art. 12 lit. g BGFA verstossen.</w:t>
      </w:r>
    </w:p>
    <w:p>
      <w:pPr>
        <w:pStyle w:val="Heading2"/>
      </w:pPr>
      <w:r>
        <w:t>Erwägungen</w:t>
      </w:r>
    </w:p>
    <w:p>
      <w:r>
        <w:rPr>
          <w:b/>
        </w:rPr>
        <w:t>E. 4</w:t>
      </w:r>
    </w:p>
    <w:p>
      <w:r>
        <w:t>(…)</w:t>
      </w:r>
    </w:p>
    <w:p>
      <w:r>
        <w:rPr>
          <w:b/>
        </w:rPr>
        <w:t>E. 5.1</w:t>
      </w:r>
    </w:p>
    <w:p>
      <w:r>
        <w:t>(…)</w:t>
      </w:r>
    </w:p>
    <w:p>
      <w:r>
        <w:rPr>
          <w:b/>
        </w:rPr>
        <w:t>E. 5.2</w:t>
      </w:r>
    </w:p>
    <w:p>
      <w:r>
        <w:t>Die beanzeigte Anwältin wurde mit Entscheiden des Bezirksgerichts X. vom 19. August 2019 in den beiden Zivilverfahren (Y., Z.) als unentgeltliche Rechtsvertreterin der Gesuchstellerin (A.) bestimmt (vgl. oben, Ziff. 4.2). Spätestens seit dem 27. August 2019 hatte die beanzeigte Anwältin Kenntnis von der Bewilligung bezüglich der unentgeltlichen Rechtspflege, da sie ihre Klientin mit Schreiben vom 27. August 2019 über die fraglichen Endentscheide informiert hat (vgl. oben, Ziff. 4.3). Trotzdem hat die beanzeigte Anwältin ihrer Klientin für ihre Leistungen vom 18. Dezember 2017 bis 6.September 2019 im Verfahren Z. mit Kostennote vom 6. September 2019 einen Betrag von Fr. 13'487.25 in Rechnung gestellt (vgl. oben, Ziff. 4.4). Die beanzeigte Anwältin hat diesen Betrag mit einer Zahlung der Gegenpartei an die Klientin (diese Zahlung im Betrag von Fr. 21'000.00 erfolgte am 4. September 2019 an die beanzeigte Anwältin) verrechnet; am 13. September 2019 hat sie der Klientin die Differenz im Betrag von Fr. 7'512.75 überwiesen (vgl. oben, Ziff. 4.3 und Ziff. 4.4).</w:t>
      </w:r>
    </w:p>
    <w:p>
      <w:r>
        <w:rPr>
          <w:b/>
        </w:rPr>
        <w:t>E. 5.4</w:t>
      </w:r>
    </w:p>
    <w:p>
      <w:r>
        <w:t>(…)</w:t>
      </w:r>
    </w:p>
    <w:p>
      <w:r>
        <w:rPr>
          <w:b/>
        </w:rPr>
        <w:t>E. 5.5</w:t>
      </w:r>
    </w:p>
    <w:p>
      <w:r>
        <w:t>Bei einem bewilligten Gesuch um unentgeltlichen Rechtsbeistand ist die Entschädigung für die unentgeltliche Rechtsvertretung durch das Gericht festzulegen. Falls die bedürftige Klientin wieder zu Vermögen gelangen sollte, ist sodann das formelle Nachzahlungsverfahren anzustrengen (vgl. oben, Ziff. 3.3). Vorliegend wurde das Gesuch um unentgeltliche Rechtspflege am 14. Februar 2018 respektive am 6. März 2018 gestellt, und es wurde am 19. August 2019 mit Endentscheid des Bezirksgerichts X. bewilligt (vgl. oben, Ziff. 5.2). Das Gesuch um unentgeltlichen Rechtsbeistand wurde also weder zurückgezogen noch vom Gericht abgewiesen. Vielmehr hat die beanzeigte Anwältin am 6. September 2019 ihrer Klientin für ihre Leistungen vom 18. Dezember 2017 bis</w:t>
      </w:r>
    </w:p>
    <w:p>
      <w:r>
        <w:rPr>
          <w:b/>
        </w:rPr>
        <w:t>E. 6</w:t>
      </w:r>
    </w:p>
    <w:p>
      <w:r>
        <w:t>September 2019 Rechnung in der Höhe von Fr. 13'487.25 gestellt (vgl. oben, Ziff. 4.4). Erst auf Ersuchen ihrer Klientin hat sie ihre Kostennote (Tätigkeit vom 8. Dezember 2017 bis 13. September 2019) im Betrag von Fr. 15'000.55 am 19. November 2019 beim Bezirksgericht X. eingereicht (vgl. oben, Ziff. 4.6). Diese Kostennote wurde dann um Fr. 6'836.30 gekürzt, weshalb sie sich veranlasst sah,</w:t>
      </w:r>
    </w:p>
    <w:p>
      <w:r>
        <w:t>den Betrag von Fr. 13'487.25 an ihre Klientin zurückzuzahlen (vgl. oben, Ziff. 4.7 und Ziff. 4.8). Indem die beanzeigte Anwältin ihrer Klientin, welcher am 19. August 2019 die unentgeltliche Rechtspflege gewährt worden war, mit Kostennote vom 6. September 2019 für ihre Leistungen in den Verfahren betreffend Y./Z. einen Betrag von Fr. 13'487.25 in Rechnung gestellt hat, hat sie gegen Art. 12 lit. g BGFA verstossen.</w:t>
      </w:r>
    </w:p>
    <w:p>
      <w:r>
        <w:t>70 Solaranlagen auf Flachdächern, Meldeverfahren Möglichkeit der nachträglichen baupolizeilichen Überprüfung von im Meldeverfahren erstellten Solaranlagen (Erw. 4.2.1–4.2.3) Das Maximalmass von 20 cm, um welches die Solaranlage über die Dachfläche ragen darf, wird bei einem Flachdach ab Oberkante der Flachdachbrüstung gemessen (Erw. 4.3.2). Als "nach dem Stand der Technik reflexionsarm" ausgeführt gelten Module mit behandelter Glasoberfläche. Jederzeitige Zulässigkeit einer Immissionsklage bei störender Blendung (Erw. 4.3.4, 4.4) Das Meldeverfahren ist ebenfalls anwendbar für eine auf einem Flachdach aufgeständerte Solaranlage. Das Erfordernis, "als kompakte Fläche zusammen(zu)hängen", ist erfüllt, wenn die Module parallel zur Dachkante verlaufen, in zusammenhängenden Reihen stehen und sich so eine strukturierte Gliederung ergibt, die der Geometrie des Gebäudes untergeordnet ist (Erw. 4.3.5). Aus dem Entscheid des Departements Bau, Verkehr und Umwelt vom 14.Februar 2020 (EBVU 19.215) Aus den Erwägungen 4.2.1 Damit eine Solaranlage im Meldeverfahren und ohne Baubewilligung realisiert werden kann, muss sie zunächst die formell rechtlichen Voraussetzungen von Art.18a RPG i.V.m. Art.32aAbs.1 RPV erfüllen. Demnach muss die Solaranlage in der Landwirtschafts oder Bauzone liegen und auf einem Gebäudedach angebracht sein. Beim Gebäude darf es sich jedoch nicht um ein Baudenkmal von nationaler oder kantonaler Bedeutung handeln (Art.18a Abs. 3 RPG). Weiter wird vorausgesetzt, dass sich die Solaranlage als genügend angepasst erweist. … Dabei konkretisiert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